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F8195" w14:textId="77777777" w:rsidR="00597AE0" w:rsidRDefault="00597AE0" w:rsidP="00597AE0">
      <w:pPr>
        <w:rPr>
          <w:color w:val="333333"/>
          <w:lang w:val="en-US"/>
        </w:rPr>
      </w:pPr>
      <w:bookmarkStart w:id="0" w:name="_GoBack"/>
      <w:bookmarkEnd w:id="0"/>
    </w:p>
    <w:tbl>
      <w:tblPr>
        <w:tblW w:w="0" w:type="auto"/>
        <w:tblLayout w:type="fixed"/>
        <w:tblLook w:val="0000" w:firstRow="0" w:lastRow="0" w:firstColumn="0" w:lastColumn="0" w:noHBand="0" w:noVBand="0"/>
      </w:tblPr>
      <w:tblGrid>
        <w:gridCol w:w="4360"/>
        <w:gridCol w:w="4360"/>
      </w:tblGrid>
      <w:tr w:rsidR="00597AE0" w14:paraId="179D455B" w14:textId="77777777">
        <w:tc>
          <w:tcPr>
            <w:tcW w:w="4360" w:type="dxa"/>
          </w:tcPr>
          <w:p w14:paraId="536AEAD3" w14:textId="77777777" w:rsidR="00597AE0" w:rsidRDefault="00597AE0" w:rsidP="00597AE0">
            <w:pPr>
              <w:rPr>
                <w:b/>
                <w:color w:val="333333"/>
                <w:sz w:val="22"/>
              </w:rPr>
            </w:pPr>
          </w:p>
          <w:p w14:paraId="47BF753F" w14:textId="77777777" w:rsidR="00597AE0" w:rsidRDefault="00597AE0" w:rsidP="00597AE0">
            <w:pPr>
              <w:rPr>
                <w:b/>
                <w:color w:val="333333"/>
                <w:sz w:val="22"/>
              </w:rPr>
            </w:pPr>
            <w:r>
              <w:rPr>
                <w:b/>
                <w:color w:val="333333"/>
                <w:sz w:val="22"/>
              </w:rPr>
              <w:t xml:space="preserve">                   </w:t>
            </w:r>
            <w:r w:rsidRPr="00D03E82">
              <w:rPr>
                <w:b/>
                <w:color w:val="333333"/>
                <w:sz w:val="22"/>
              </w:rPr>
              <w:object w:dxaOrig="1111" w:dyaOrig="1171" w14:anchorId="65E58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8.5pt" o:ole="" fillcolor="window">
                  <v:imagedata r:id="rId6" o:title=""/>
                </v:shape>
                <o:OLEObject Type="Embed" ProgID="Word.Picture.8" ShapeID="_x0000_i1025" DrawAspect="Content" ObjectID="_1645944113" r:id="rId7"/>
              </w:object>
            </w:r>
          </w:p>
          <w:p w14:paraId="1701CE80" w14:textId="77777777" w:rsidR="00597AE0" w:rsidRDefault="00597AE0" w:rsidP="00597AE0">
            <w:pPr>
              <w:rPr>
                <w:b/>
                <w:color w:val="333333"/>
                <w:sz w:val="22"/>
              </w:rPr>
            </w:pPr>
            <w:r>
              <w:rPr>
                <w:b/>
                <w:color w:val="333333"/>
                <w:sz w:val="22"/>
              </w:rPr>
              <w:t>ΕΛΛΗΝΙΚΗ ΔΗΜΟΚΡΑΤΙΑ</w:t>
            </w:r>
          </w:p>
          <w:p w14:paraId="3B5BCB75" w14:textId="77777777" w:rsidR="00597AE0" w:rsidRDefault="00597AE0" w:rsidP="00597AE0">
            <w:pPr>
              <w:rPr>
                <w:b/>
                <w:color w:val="333333"/>
                <w:sz w:val="22"/>
              </w:rPr>
            </w:pPr>
            <w:r>
              <w:rPr>
                <w:b/>
                <w:color w:val="333333"/>
                <w:sz w:val="22"/>
              </w:rPr>
              <w:t>ΥΠΟΥΡΓΕΙΟ ΔΙΚΑΙΟΣΥΝΗΣ</w:t>
            </w:r>
          </w:p>
          <w:p w14:paraId="4B9921DE" w14:textId="77777777" w:rsidR="00597AE0" w:rsidRDefault="00597AE0" w:rsidP="00597AE0">
            <w:pPr>
              <w:rPr>
                <w:b/>
                <w:color w:val="333333"/>
                <w:sz w:val="22"/>
              </w:rPr>
            </w:pPr>
            <w:r>
              <w:rPr>
                <w:b/>
                <w:color w:val="333333"/>
                <w:sz w:val="22"/>
              </w:rPr>
              <w:t xml:space="preserve">ΕΙΣΑΓΓΕΛΙΑ ΠΡΩΤΟΔΙΚΩΝ ΡΟΔΟΥ  </w:t>
            </w:r>
          </w:p>
          <w:p w14:paraId="4CB51DBC" w14:textId="77777777" w:rsidR="00597AE0" w:rsidRDefault="00597AE0" w:rsidP="00597AE0">
            <w:pPr>
              <w:rPr>
                <w:color w:val="333333"/>
              </w:rPr>
            </w:pPr>
            <w:r>
              <w:rPr>
                <w:b/>
                <w:color w:val="333333"/>
                <w:sz w:val="22"/>
              </w:rPr>
              <w:t xml:space="preserve">         </w:t>
            </w:r>
          </w:p>
        </w:tc>
        <w:tc>
          <w:tcPr>
            <w:tcW w:w="4360" w:type="dxa"/>
          </w:tcPr>
          <w:p w14:paraId="5B429833" w14:textId="77777777" w:rsidR="00597AE0" w:rsidRDefault="00597AE0" w:rsidP="00597AE0">
            <w:pPr>
              <w:jc w:val="both"/>
              <w:rPr>
                <w:color w:val="333333"/>
                <w:sz w:val="22"/>
              </w:rPr>
            </w:pPr>
            <w:r>
              <w:rPr>
                <w:color w:val="333333"/>
              </w:rPr>
              <w:t xml:space="preserve"> </w:t>
            </w:r>
            <w:r>
              <w:rPr>
                <w:color w:val="333333"/>
                <w:sz w:val="22"/>
              </w:rPr>
              <w:t xml:space="preserve">                  </w:t>
            </w:r>
          </w:p>
          <w:p w14:paraId="24D5D3BE" w14:textId="77777777" w:rsidR="00597AE0" w:rsidRDefault="00597AE0" w:rsidP="00597AE0">
            <w:pPr>
              <w:jc w:val="both"/>
              <w:rPr>
                <w:color w:val="333333"/>
                <w:sz w:val="22"/>
              </w:rPr>
            </w:pPr>
          </w:p>
          <w:p w14:paraId="3A28D320" w14:textId="77777777" w:rsidR="00597AE0" w:rsidRDefault="00597AE0" w:rsidP="00597AE0">
            <w:pPr>
              <w:jc w:val="both"/>
              <w:rPr>
                <w:color w:val="333333"/>
                <w:sz w:val="22"/>
              </w:rPr>
            </w:pPr>
            <w:r>
              <w:rPr>
                <w:color w:val="333333"/>
                <w:sz w:val="22"/>
              </w:rPr>
              <w:t xml:space="preserve">                Ρόδος      </w:t>
            </w:r>
            <w:r w:rsidR="004370AA" w:rsidRPr="00EB6171">
              <w:rPr>
                <w:color w:val="333333"/>
                <w:sz w:val="22"/>
              </w:rPr>
              <w:t>1</w:t>
            </w:r>
            <w:r w:rsidR="005558EA">
              <w:rPr>
                <w:color w:val="333333"/>
                <w:sz w:val="22"/>
              </w:rPr>
              <w:t>6</w:t>
            </w:r>
            <w:r w:rsidR="00A95859" w:rsidRPr="00EB6171">
              <w:rPr>
                <w:color w:val="333333"/>
                <w:sz w:val="22"/>
              </w:rPr>
              <w:t>-03-2020</w:t>
            </w:r>
            <w:r>
              <w:rPr>
                <w:color w:val="333333"/>
                <w:sz w:val="22"/>
              </w:rPr>
              <w:t xml:space="preserve">        </w:t>
            </w:r>
          </w:p>
          <w:p w14:paraId="4B3847D1" w14:textId="77777777" w:rsidR="00597AE0" w:rsidRPr="00A95859" w:rsidRDefault="00A95859" w:rsidP="00597AE0">
            <w:pPr>
              <w:jc w:val="both"/>
              <w:rPr>
                <w:color w:val="333333"/>
                <w:sz w:val="22"/>
              </w:rPr>
            </w:pPr>
            <w:r>
              <w:rPr>
                <w:color w:val="333333"/>
                <w:sz w:val="22"/>
              </w:rPr>
              <w:t xml:space="preserve">                </w:t>
            </w:r>
            <w:r w:rsidR="00597AE0" w:rsidRPr="00A95859">
              <w:rPr>
                <w:color w:val="333333"/>
                <w:sz w:val="22"/>
              </w:rPr>
              <w:t xml:space="preserve"> </w:t>
            </w:r>
          </w:p>
          <w:p w14:paraId="49280AEC" w14:textId="77777777" w:rsidR="00EB6171" w:rsidRDefault="005558EA" w:rsidP="00EB6171">
            <w:pPr>
              <w:pStyle w:val="a3"/>
              <w:rPr>
                <w:color w:val="333333"/>
              </w:rPr>
            </w:pPr>
            <w:r>
              <w:rPr>
                <w:color w:val="333333"/>
              </w:rPr>
              <w:t xml:space="preserve">  Ν Ε Α    </w:t>
            </w:r>
            <w:r w:rsidR="00EB6171" w:rsidRPr="00A95859">
              <w:rPr>
                <w:color w:val="333333"/>
              </w:rPr>
              <w:t>Α Ν Α Κ Ο Ι Ν Ω Σ Η</w:t>
            </w:r>
          </w:p>
          <w:p w14:paraId="2037CC17" w14:textId="77777777" w:rsidR="00597AE0" w:rsidRDefault="00597AE0" w:rsidP="00597AE0">
            <w:pPr>
              <w:jc w:val="both"/>
              <w:rPr>
                <w:color w:val="333333"/>
              </w:rPr>
            </w:pPr>
          </w:p>
        </w:tc>
      </w:tr>
    </w:tbl>
    <w:p w14:paraId="077A73FA" w14:textId="77777777" w:rsidR="003C663D" w:rsidRDefault="004E48F2" w:rsidP="003C663D">
      <w:pPr>
        <w:pStyle w:val="a3"/>
        <w:ind w:firstLine="360"/>
        <w:jc w:val="both"/>
        <w:rPr>
          <w:b w:val="0"/>
          <w:color w:val="333333"/>
          <w:sz w:val="24"/>
          <w:u w:val="none"/>
        </w:rPr>
      </w:pPr>
      <w:r>
        <w:rPr>
          <w:b w:val="0"/>
          <w:color w:val="333333"/>
          <w:sz w:val="24"/>
          <w:u w:val="none"/>
        </w:rPr>
        <w:t xml:space="preserve">        </w:t>
      </w:r>
      <w:r w:rsidR="005558EA">
        <w:rPr>
          <w:b w:val="0"/>
          <w:color w:val="333333"/>
          <w:sz w:val="24"/>
          <w:u w:val="none"/>
        </w:rPr>
        <w:t xml:space="preserve">Σε συνέχεια της από 15-03-2020 </w:t>
      </w:r>
      <w:r>
        <w:rPr>
          <w:b w:val="0"/>
          <w:color w:val="333333"/>
          <w:sz w:val="24"/>
          <w:u w:val="none"/>
        </w:rPr>
        <w:t>ανακοίνωση</w:t>
      </w:r>
      <w:r w:rsidR="000E1969">
        <w:rPr>
          <w:b w:val="0"/>
          <w:color w:val="333333"/>
          <w:sz w:val="24"/>
          <w:u w:val="none"/>
        </w:rPr>
        <w:t>ς</w:t>
      </w:r>
      <w:r>
        <w:rPr>
          <w:b w:val="0"/>
          <w:color w:val="333333"/>
          <w:sz w:val="24"/>
          <w:u w:val="none"/>
        </w:rPr>
        <w:t xml:space="preserve">  μας και μετά την έκδοση της</w:t>
      </w:r>
      <w:r w:rsidR="003C663D">
        <w:rPr>
          <w:b w:val="0"/>
          <w:color w:val="333333"/>
          <w:sz w:val="24"/>
          <w:u w:val="none"/>
        </w:rPr>
        <w:t xml:space="preserve">  </w:t>
      </w:r>
      <w:r w:rsidR="005558EA">
        <w:rPr>
          <w:b w:val="0"/>
          <w:color w:val="333333"/>
          <w:sz w:val="24"/>
          <w:u w:val="none"/>
        </w:rPr>
        <w:t xml:space="preserve"> από 15-3-2020 </w:t>
      </w:r>
      <w:r w:rsidR="003C663D" w:rsidRPr="00886B84">
        <w:rPr>
          <w:b w:val="0"/>
          <w:color w:val="333333"/>
          <w:sz w:val="24"/>
          <w:u w:val="none"/>
        </w:rPr>
        <w:t xml:space="preserve"> </w:t>
      </w:r>
      <w:r w:rsidR="005558EA">
        <w:rPr>
          <w:b w:val="0"/>
          <w:color w:val="333333"/>
          <w:sz w:val="24"/>
          <w:u w:val="none"/>
        </w:rPr>
        <w:t>ΚΥΑ  (ΦΕΚ τ.Β΄864</w:t>
      </w:r>
      <w:r w:rsidR="003C663D" w:rsidRPr="00886B84">
        <w:rPr>
          <w:b w:val="0"/>
          <w:color w:val="333333"/>
          <w:sz w:val="24"/>
          <w:u w:val="none"/>
        </w:rPr>
        <w:t xml:space="preserve">/2020), </w:t>
      </w:r>
      <w:r w:rsidR="005558EA">
        <w:rPr>
          <w:b w:val="0"/>
          <w:color w:val="333333"/>
          <w:sz w:val="24"/>
          <w:u w:val="none"/>
        </w:rPr>
        <w:t xml:space="preserve"> </w:t>
      </w:r>
      <w:r w:rsidR="003C663D">
        <w:rPr>
          <w:b w:val="0"/>
          <w:color w:val="333333"/>
          <w:sz w:val="24"/>
          <w:u w:val="none"/>
        </w:rPr>
        <w:t xml:space="preserve"> για την πρόληψη νέας μετάδοσης του </w:t>
      </w:r>
      <w:r w:rsidR="000E1969" w:rsidRPr="004E48F2">
        <w:rPr>
          <w:color w:val="333333"/>
          <w:sz w:val="24"/>
        </w:rPr>
        <w:t>του κορωνοϊού COVID-19</w:t>
      </w:r>
      <w:r w:rsidR="003C663D">
        <w:rPr>
          <w:b w:val="0"/>
          <w:color w:val="333333"/>
          <w:sz w:val="24"/>
          <w:u w:val="none"/>
        </w:rPr>
        <w:t xml:space="preserve"> εντός των χώρων των γραφείων της Εισαγγελίας </w:t>
      </w:r>
      <w:r w:rsidR="000E1969">
        <w:rPr>
          <w:b w:val="0"/>
          <w:color w:val="333333"/>
          <w:sz w:val="24"/>
          <w:u w:val="none"/>
        </w:rPr>
        <w:t xml:space="preserve"> μας, </w:t>
      </w:r>
      <w:r w:rsidR="005558EA">
        <w:rPr>
          <w:b w:val="0"/>
          <w:color w:val="333333"/>
          <w:sz w:val="24"/>
          <w:u w:val="none"/>
        </w:rPr>
        <w:t xml:space="preserve"> </w:t>
      </w:r>
      <w:r w:rsidR="003C663D">
        <w:rPr>
          <w:b w:val="0"/>
          <w:color w:val="333333"/>
          <w:sz w:val="24"/>
          <w:u w:val="none"/>
        </w:rPr>
        <w:t xml:space="preserve"> αυτή την φορά, σας γνωρίζουμε τα εξής </w:t>
      </w:r>
      <w:r>
        <w:rPr>
          <w:b w:val="0"/>
          <w:color w:val="333333"/>
          <w:sz w:val="24"/>
          <w:u w:val="none"/>
        </w:rPr>
        <w:t xml:space="preserve">: </w:t>
      </w:r>
    </w:p>
    <w:p w14:paraId="013FA64B" w14:textId="18F7F95A" w:rsidR="004E48F2" w:rsidRPr="004E48F2" w:rsidRDefault="00D947F9" w:rsidP="004E48F2">
      <w:pPr>
        <w:jc w:val="both"/>
        <w:rPr>
          <w:color w:val="333333"/>
        </w:rPr>
      </w:pPr>
      <w:r>
        <w:rPr>
          <w:color w:val="333333"/>
        </w:rPr>
        <w:t xml:space="preserve">1. </w:t>
      </w:r>
      <w:r w:rsidR="00D309C9">
        <w:rPr>
          <w:color w:val="333333"/>
        </w:rPr>
        <w:t xml:space="preserve">Αναστέλλεται προσωρινά η λειτουργία των </w:t>
      </w:r>
      <w:r w:rsidR="004E48F2" w:rsidRPr="004E48F2">
        <w:rPr>
          <w:color w:val="333333"/>
        </w:rPr>
        <w:t xml:space="preserve">ποινικών δικαστηρίων και εισαγγελιών της Χώρας, για το χρονικό διάστημα από 16.3.2020 έως και 27.3.2020, για προληπτικούς λόγους δημόσιας υγείας, κατά τα αναφερόμενα στην από 15.3.2020 εισήγηση της Εθνικής Επιτροπής Προστασίας Δημόσιας Υγείας έναντι του κορωνοϊού COVID-19 και ως ακολούθως: </w:t>
      </w:r>
    </w:p>
    <w:p w14:paraId="01DB4B04" w14:textId="78F272C3" w:rsidR="004E48F2" w:rsidRPr="004E48F2" w:rsidRDefault="00D947F9" w:rsidP="004E48F2">
      <w:pPr>
        <w:jc w:val="both"/>
        <w:rPr>
          <w:color w:val="333333"/>
        </w:rPr>
      </w:pPr>
      <w:r>
        <w:rPr>
          <w:color w:val="333333"/>
        </w:rPr>
        <w:t xml:space="preserve">2. </w:t>
      </w:r>
      <w:r w:rsidR="004E48F2" w:rsidRPr="004E48F2">
        <w:rPr>
          <w:color w:val="333333"/>
        </w:rPr>
        <w:t xml:space="preserve">Αναστέλλονται: </w:t>
      </w:r>
    </w:p>
    <w:p w14:paraId="54D97BAB" w14:textId="17F28E20" w:rsidR="004E48F2" w:rsidRPr="004E48F2" w:rsidRDefault="004E48F2" w:rsidP="004E48F2">
      <w:pPr>
        <w:jc w:val="both"/>
        <w:rPr>
          <w:color w:val="333333"/>
        </w:rPr>
      </w:pPr>
      <w:r w:rsidRPr="004E48F2">
        <w:rPr>
          <w:color w:val="333333"/>
        </w:rPr>
        <w:t xml:space="preserve">α) Οι δίκες ενώπιον των ποινικών δικαστηρίων, </w:t>
      </w:r>
    </w:p>
    <w:p w14:paraId="258D83A7" w14:textId="7E44623D" w:rsidR="004E48F2" w:rsidRPr="004E48F2" w:rsidRDefault="004E48F2" w:rsidP="00D309C9">
      <w:pPr>
        <w:jc w:val="both"/>
        <w:rPr>
          <w:color w:val="333333"/>
        </w:rPr>
      </w:pPr>
      <w:r w:rsidRPr="004E48F2">
        <w:rPr>
          <w:color w:val="333333"/>
        </w:rPr>
        <w:t>β) οι νόμιμες και δικαστικές προθεσμίες για τη διενέργεια διαδικαστικών πράξεων και άλλων ενεργειών ενώπιον των υπηρεσιών των</w:t>
      </w:r>
      <w:r w:rsidR="00D309C9">
        <w:rPr>
          <w:color w:val="333333"/>
        </w:rPr>
        <w:t xml:space="preserve"> δικαστηρίων και </w:t>
      </w:r>
      <w:r w:rsidRPr="004E48F2">
        <w:rPr>
          <w:color w:val="333333"/>
        </w:rPr>
        <w:t xml:space="preserve"> εισαγγελιών, καθώς και η παραγραφή των συναφών αξιώσεων </w:t>
      </w:r>
    </w:p>
    <w:p w14:paraId="4100611B" w14:textId="401BB1D9" w:rsidR="004E48F2" w:rsidRPr="004E48F2" w:rsidRDefault="004E48F2" w:rsidP="004E48F2">
      <w:pPr>
        <w:jc w:val="both"/>
        <w:rPr>
          <w:color w:val="333333"/>
        </w:rPr>
      </w:pPr>
      <w:r w:rsidRPr="004E48F2">
        <w:rPr>
          <w:color w:val="333333"/>
        </w:rPr>
        <w:t xml:space="preserve"> Εξαιρούνται από την εφαρμογή της προηγούμενης παραγράφου: </w:t>
      </w:r>
    </w:p>
    <w:p w14:paraId="36917483" w14:textId="4A3A1B6A" w:rsidR="004E48F2" w:rsidRPr="004E48F2" w:rsidRDefault="00D309C9" w:rsidP="004E48F2">
      <w:pPr>
        <w:jc w:val="both"/>
        <w:rPr>
          <w:color w:val="333333"/>
        </w:rPr>
      </w:pPr>
      <w:r>
        <w:rPr>
          <w:color w:val="333333"/>
        </w:rPr>
        <w:t>-</w:t>
      </w:r>
      <w:r w:rsidR="004E48F2" w:rsidRPr="004E48F2">
        <w:rPr>
          <w:color w:val="333333"/>
        </w:rPr>
        <w:t xml:space="preserve">η εκδίκαση αυτόφωρων πλημμελημάτων, εφόσον αφορά κατηγορούμενο που κρατείται δυνάμει των διατάξεων περί αυτόφωρης διαδικασίας, </w:t>
      </w:r>
    </w:p>
    <w:p w14:paraId="052FA281" w14:textId="6491C20F" w:rsidR="004E48F2" w:rsidRPr="004E48F2" w:rsidRDefault="00D309C9" w:rsidP="004E48F2">
      <w:pPr>
        <w:jc w:val="both"/>
        <w:rPr>
          <w:color w:val="333333"/>
        </w:rPr>
      </w:pPr>
      <w:r>
        <w:rPr>
          <w:color w:val="333333"/>
        </w:rPr>
        <w:t>-</w:t>
      </w:r>
      <w:r w:rsidR="004E48F2" w:rsidRPr="004E48F2">
        <w:rPr>
          <w:color w:val="333333"/>
        </w:rPr>
        <w:t xml:space="preserve"> η κλήρωση των ενόρκων και η έναρξη της συνόδου των Μικτών Ορκωτών Δικαστηρίων και Μικτών Ορκωτών Εφετείων </w:t>
      </w:r>
    </w:p>
    <w:p w14:paraId="0F79EB55" w14:textId="1375BB80" w:rsidR="004E48F2" w:rsidRPr="004E48F2" w:rsidRDefault="00D309C9" w:rsidP="004E48F2">
      <w:pPr>
        <w:jc w:val="both"/>
        <w:rPr>
          <w:color w:val="333333"/>
        </w:rPr>
      </w:pPr>
      <w:r>
        <w:rPr>
          <w:color w:val="333333"/>
        </w:rPr>
        <w:t>-</w:t>
      </w:r>
      <w:r w:rsidR="004E48F2" w:rsidRPr="004E48F2">
        <w:rPr>
          <w:color w:val="333333"/>
        </w:rPr>
        <w:t xml:space="preserve">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 </w:t>
      </w:r>
    </w:p>
    <w:p w14:paraId="5345E5C2" w14:textId="2D1FA77C" w:rsidR="004E48F2" w:rsidRPr="004E48F2" w:rsidRDefault="00D309C9" w:rsidP="004E48F2">
      <w:pPr>
        <w:jc w:val="both"/>
        <w:rPr>
          <w:color w:val="333333"/>
        </w:rPr>
      </w:pPr>
      <w:r>
        <w:rPr>
          <w:color w:val="333333"/>
        </w:rPr>
        <w:t xml:space="preserve">- </w:t>
      </w:r>
      <w:r w:rsidR="004E48F2" w:rsidRPr="004E48F2">
        <w:rPr>
          <w:color w:val="333333"/>
        </w:rPr>
        <w:t xml:space="preserve">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31.1.2021. Το δικαστήριο αποφασίζει, κατά περίπτωση, για την εκδίκαση ή τη διακοπή αυτών.    </w:t>
      </w:r>
    </w:p>
    <w:p w14:paraId="3B8C2110" w14:textId="5061AC77" w:rsidR="004E48F2" w:rsidRPr="004E48F2" w:rsidRDefault="00D309C9" w:rsidP="004E48F2">
      <w:pPr>
        <w:jc w:val="both"/>
        <w:rPr>
          <w:color w:val="333333"/>
        </w:rPr>
      </w:pPr>
      <w:r>
        <w:rPr>
          <w:color w:val="333333"/>
        </w:rPr>
        <w:t>-</w:t>
      </w:r>
      <w:r w:rsidR="004E48F2" w:rsidRPr="004E48F2">
        <w:rPr>
          <w:color w:val="333333"/>
        </w:rPr>
        <w:t>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w:t>
      </w:r>
    </w:p>
    <w:p w14:paraId="09DD37A3" w14:textId="77777777" w:rsidR="000E1969" w:rsidRDefault="000E1969" w:rsidP="004E48F2">
      <w:pPr>
        <w:jc w:val="both"/>
        <w:rPr>
          <w:color w:val="333333"/>
        </w:rPr>
      </w:pPr>
    </w:p>
    <w:p w14:paraId="117BC053" w14:textId="6B057A3E" w:rsidR="004E48F2" w:rsidRDefault="00D309C9" w:rsidP="004E48F2">
      <w:pPr>
        <w:jc w:val="both"/>
        <w:rPr>
          <w:color w:val="333333"/>
        </w:rPr>
      </w:pPr>
      <w:r>
        <w:rPr>
          <w:color w:val="333333"/>
        </w:rPr>
        <w:t>-</w:t>
      </w:r>
      <w:r w:rsidR="004E48F2" w:rsidRPr="004E48F2">
        <w:rPr>
          <w:color w:val="333333"/>
        </w:rPr>
        <w:t xml:space="preserve">Η λειτουργία </w:t>
      </w:r>
      <w:r w:rsidR="00D947F9">
        <w:rPr>
          <w:color w:val="333333"/>
        </w:rPr>
        <w:t xml:space="preserve">της εισαγγελίας </w:t>
      </w:r>
      <w:r w:rsidR="004E48F2" w:rsidRPr="004E48F2">
        <w:rPr>
          <w:color w:val="333333"/>
        </w:rPr>
        <w:t xml:space="preserve">περιορίζεται στις αναγκαίες ενέργειες για τη διεκπεραίωση των ποινικών υποθέσεων που, σύμφωνα με την </w:t>
      </w:r>
      <w:r>
        <w:rPr>
          <w:color w:val="333333"/>
        </w:rPr>
        <w:t>ως άνω ΚΥΑ</w:t>
      </w:r>
      <w:r w:rsidR="004E48F2" w:rsidRPr="004E48F2">
        <w:rPr>
          <w:color w:val="333333"/>
        </w:rPr>
        <w:t>, εκδικάζονται ενώπιον των ποινικών δικαστηρίων, καθώς και εκείνων που κατά περίπτωση και κατά την κρίση τ</w:t>
      </w:r>
      <w:r w:rsidR="00D947F9">
        <w:rPr>
          <w:color w:val="333333"/>
        </w:rPr>
        <w:t>ης</w:t>
      </w:r>
      <w:r w:rsidR="004E48F2" w:rsidRPr="004E48F2">
        <w:rPr>
          <w:color w:val="333333"/>
        </w:rPr>
        <w:t xml:space="preserve"> </w:t>
      </w:r>
      <w:r w:rsidR="00D947F9">
        <w:rPr>
          <w:color w:val="333333"/>
        </w:rPr>
        <w:t xml:space="preserve">Διευθύνουσας </w:t>
      </w:r>
      <w:r>
        <w:rPr>
          <w:color w:val="333333"/>
        </w:rPr>
        <w:t xml:space="preserve">την Υπηρεσία </w:t>
      </w:r>
      <w:r w:rsidR="004E48F2" w:rsidRPr="004E48F2">
        <w:rPr>
          <w:color w:val="333333"/>
        </w:rPr>
        <w:t xml:space="preserve">έχουν κατεπείγοντα χαρακτήρα και χρήζουν άμεσης αντιμετώπισης. </w:t>
      </w:r>
    </w:p>
    <w:p w14:paraId="6DE92101" w14:textId="21029FBC" w:rsidR="006065B5" w:rsidRPr="006065B5" w:rsidRDefault="00D309C9" w:rsidP="00D947F9">
      <w:pPr>
        <w:jc w:val="both"/>
        <w:rPr>
          <w:color w:val="333333"/>
        </w:rPr>
      </w:pPr>
      <w:r>
        <w:rPr>
          <w:color w:val="333333"/>
        </w:rPr>
        <w:t xml:space="preserve">- Κατά τα λοιπά αναφερόμαστε στην από 15.3.2020 ανακοίνωσή </w:t>
      </w:r>
      <w:r w:rsidR="00D947F9">
        <w:rPr>
          <w:color w:val="333333"/>
        </w:rPr>
        <w:t xml:space="preserve">μας, επισημαίνοντας ότι σύμφωνα με νέα ανακοίνωση του Υπουργείου Πολιτικής Προστασίας η απόσταση που θα πρέπει να τηρείται από τους επισκέπτες της Υπηρεσίας θα πρέπει να είναι στα </w:t>
      </w:r>
      <w:r w:rsidR="00D947F9">
        <w:rPr>
          <w:color w:val="333333"/>
        </w:rPr>
        <w:lastRenderedPageBreak/>
        <w:t>2 μέτρα από άλλους ανθρώπους και φυσικά από τους υπηρετούντες στην  Εισαγγελία μας.</w:t>
      </w:r>
      <w:r w:rsidR="006065B5" w:rsidRPr="006065B5">
        <w:rPr>
          <w:color w:val="333333"/>
        </w:rPr>
        <w:t xml:space="preserve"> </w:t>
      </w:r>
    </w:p>
    <w:p w14:paraId="23A4199A" w14:textId="77777777" w:rsidR="00597AE0" w:rsidRPr="00886B84" w:rsidRDefault="00EB6171" w:rsidP="00597AE0">
      <w:pPr>
        <w:pStyle w:val="a3"/>
        <w:jc w:val="both"/>
        <w:rPr>
          <w:color w:val="333333"/>
          <w:sz w:val="24"/>
          <w:u w:val="none"/>
        </w:rPr>
      </w:pPr>
      <w:r w:rsidRPr="006065B5">
        <w:rPr>
          <w:color w:val="333333"/>
          <w:sz w:val="24"/>
          <w:u w:val="none"/>
        </w:rPr>
        <w:t xml:space="preserve">            </w:t>
      </w:r>
      <w:r>
        <w:rPr>
          <w:color w:val="333333"/>
          <w:sz w:val="24"/>
          <w:u w:val="none"/>
        </w:rPr>
        <w:t xml:space="preserve">                                                 Η ΕΙΣΑΓΓΕΛΕΑΣ ΠΡΩΤΟΔΙΚΩΝ ΡΟΔΟΥ</w:t>
      </w:r>
    </w:p>
    <w:p w14:paraId="6976F4B2" w14:textId="0F3B62A9" w:rsidR="00597AE0" w:rsidRPr="00886B84" w:rsidRDefault="00597AE0" w:rsidP="00597AE0">
      <w:pPr>
        <w:pStyle w:val="a3"/>
        <w:jc w:val="both"/>
        <w:rPr>
          <w:color w:val="333333"/>
          <w:sz w:val="24"/>
          <w:u w:val="none"/>
        </w:rPr>
      </w:pPr>
      <w:r w:rsidRPr="00886B84">
        <w:rPr>
          <w:color w:val="333333"/>
          <w:sz w:val="24"/>
          <w:u w:val="none"/>
        </w:rPr>
        <w:t xml:space="preserve">                                            </w:t>
      </w:r>
      <w:r w:rsidR="00EB6171">
        <w:rPr>
          <w:color w:val="333333"/>
          <w:sz w:val="24"/>
          <w:u w:val="none"/>
        </w:rPr>
        <w:t xml:space="preserve">                            ΜΑΡΙΑ </w:t>
      </w:r>
      <w:r w:rsidR="00D947F9">
        <w:rPr>
          <w:color w:val="333333"/>
          <w:sz w:val="24"/>
          <w:u w:val="none"/>
        </w:rPr>
        <w:t xml:space="preserve">Μ. </w:t>
      </w:r>
      <w:r w:rsidR="00EB6171">
        <w:rPr>
          <w:color w:val="333333"/>
          <w:sz w:val="24"/>
          <w:u w:val="none"/>
        </w:rPr>
        <w:t>ΠΑΠΑΓΙΑΝΝΙΔΟΥ</w:t>
      </w:r>
    </w:p>
    <w:p w14:paraId="13964302" w14:textId="77777777" w:rsidR="00597AE0" w:rsidRDefault="00597AE0" w:rsidP="00597AE0">
      <w:pPr>
        <w:rPr>
          <w:color w:val="333333"/>
        </w:rPr>
      </w:pPr>
    </w:p>
    <w:p w14:paraId="06955E40" w14:textId="77777777" w:rsidR="00597AE0" w:rsidRDefault="00597AE0" w:rsidP="00597AE0">
      <w:pPr>
        <w:rPr>
          <w:color w:val="333333"/>
        </w:rPr>
      </w:pPr>
    </w:p>
    <w:p w14:paraId="2B4D6B68" w14:textId="77777777" w:rsidR="00597AE0" w:rsidRDefault="00597AE0" w:rsidP="00597AE0">
      <w:pPr>
        <w:rPr>
          <w:color w:val="333333"/>
        </w:rPr>
      </w:pPr>
    </w:p>
    <w:p w14:paraId="541E4A6C" w14:textId="77777777" w:rsidR="00597AE0" w:rsidRDefault="00597AE0" w:rsidP="00597AE0">
      <w:pPr>
        <w:rPr>
          <w:color w:val="333333"/>
        </w:rPr>
      </w:pPr>
    </w:p>
    <w:p w14:paraId="291A02AD" w14:textId="77777777" w:rsidR="00597AE0" w:rsidRDefault="00597AE0"/>
    <w:sectPr w:rsidR="00597AE0" w:rsidSect="00D03E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5FB"/>
    <w:multiLevelType w:val="hybridMultilevel"/>
    <w:tmpl w:val="7452DEB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A9A1631"/>
    <w:multiLevelType w:val="hybridMultilevel"/>
    <w:tmpl w:val="D3B8D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E0"/>
    <w:rsid w:val="000C6F30"/>
    <w:rsid w:val="000E1969"/>
    <w:rsid w:val="0014264E"/>
    <w:rsid w:val="00230BCE"/>
    <w:rsid w:val="00273396"/>
    <w:rsid w:val="0033286C"/>
    <w:rsid w:val="00367A6E"/>
    <w:rsid w:val="003C663D"/>
    <w:rsid w:val="003F379E"/>
    <w:rsid w:val="004370AA"/>
    <w:rsid w:val="004E48F2"/>
    <w:rsid w:val="005558EA"/>
    <w:rsid w:val="00597AE0"/>
    <w:rsid w:val="006065B5"/>
    <w:rsid w:val="007E285B"/>
    <w:rsid w:val="00886B84"/>
    <w:rsid w:val="00A95859"/>
    <w:rsid w:val="00B03937"/>
    <w:rsid w:val="00B94389"/>
    <w:rsid w:val="00BB6BB6"/>
    <w:rsid w:val="00C53118"/>
    <w:rsid w:val="00D03E82"/>
    <w:rsid w:val="00D309C9"/>
    <w:rsid w:val="00D947F9"/>
    <w:rsid w:val="00EB6171"/>
    <w:rsid w:val="00F066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5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97AE0"/>
    <w:pPr>
      <w:jc w:val="center"/>
    </w:pPr>
    <w:rPr>
      <w:b/>
      <w:sz w:val="28"/>
      <w:u w:val="single"/>
    </w:rPr>
  </w:style>
  <w:style w:type="paragraph" w:styleId="a4">
    <w:name w:val="List Paragraph"/>
    <w:basedOn w:val="a"/>
    <w:uiPriority w:val="34"/>
    <w:qFormat/>
    <w:rsid w:val="00B03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97AE0"/>
    <w:pPr>
      <w:jc w:val="center"/>
    </w:pPr>
    <w:rPr>
      <w:b/>
      <w:sz w:val="28"/>
      <w:u w:val="single"/>
    </w:rPr>
  </w:style>
  <w:style w:type="paragraph" w:styleId="a4">
    <w:name w:val="List Paragraph"/>
    <w:basedOn w:val="a"/>
    <w:uiPriority w:val="34"/>
    <w:qFormat/>
    <w:rsid w:val="00B03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Sofia</cp:lastModifiedBy>
  <cp:revision>2</cp:revision>
  <dcterms:created xsi:type="dcterms:W3CDTF">2020-03-17T07:56:00Z</dcterms:created>
  <dcterms:modified xsi:type="dcterms:W3CDTF">2020-03-17T07:56:00Z</dcterms:modified>
</cp:coreProperties>
</file>